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56" w:rsidRPr="00D2373F" w:rsidRDefault="00756756" w:rsidP="00756756">
      <w:pPr>
        <w:rPr>
          <w:rFonts w:asciiTheme="minorHAnsi" w:hAnsiTheme="minorHAnsi"/>
          <w:sz w:val="24"/>
          <w:szCs w:val="24"/>
          <w:lang w:val="pl-PL"/>
        </w:rPr>
      </w:pPr>
    </w:p>
    <w:p w:rsidR="00756756" w:rsidRPr="00A13EA9" w:rsidRDefault="00756756" w:rsidP="00756756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54/EOG/2017</w:t>
      </w:r>
    </w:p>
    <w:p w:rsidR="00756756" w:rsidRPr="00574802" w:rsidRDefault="00756756" w:rsidP="00756756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756756" w:rsidRPr="00D0054B" w:rsidRDefault="00756756" w:rsidP="00756756">
      <w:pPr>
        <w:rPr>
          <w:rFonts w:asciiTheme="minorHAnsi" w:hAnsiTheme="minorHAnsi"/>
          <w:sz w:val="22"/>
          <w:szCs w:val="22"/>
          <w:lang w:val="pl-PL"/>
        </w:rPr>
      </w:pPr>
    </w:p>
    <w:p w:rsidR="00756756" w:rsidRPr="00A13EA9" w:rsidRDefault="00756756" w:rsidP="00756756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756756" w:rsidRPr="00A13EA9" w:rsidRDefault="00756756" w:rsidP="00756756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756756" w:rsidRDefault="00756756" w:rsidP="00756756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756756" w:rsidRDefault="00756756" w:rsidP="00756756">
      <w:pPr>
        <w:rPr>
          <w:rFonts w:asciiTheme="minorHAnsi" w:hAnsiTheme="minorHAnsi"/>
          <w:sz w:val="22"/>
          <w:szCs w:val="22"/>
          <w:lang w:val="pl-PL"/>
        </w:rPr>
      </w:pPr>
    </w:p>
    <w:p w:rsidR="00756756" w:rsidRDefault="00756756" w:rsidP="00756756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756756" w:rsidRPr="00D0054B" w:rsidRDefault="00756756" w:rsidP="00756756">
      <w:pPr>
        <w:rPr>
          <w:rFonts w:asciiTheme="minorHAnsi" w:hAnsiTheme="minorHAnsi"/>
          <w:sz w:val="22"/>
          <w:szCs w:val="22"/>
          <w:lang w:val="pl-PL"/>
        </w:rPr>
      </w:pPr>
    </w:p>
    <w:p w:rsidR="00756756" w:rsidRPr="00D0054B" w:rsidRDefault="00756756" w:rsidP="00756756">
      <w:pPr>
        <w:rPr>
          <w:rFonts w:asciiTheme="minorHAnsi" w:hAnsiTheme="minorHAnsi"/>
          <w:sz w:val="22"/>
          <w:szCs w:val="22"/>
          <w:lang w:val="pl-PL"/>
        </w:rPr>
      </w:pPr>
    </w:p>
    <w:p w:rsidR="00756756" w:rsidRPr="00D0054B" w:rsidRDefault="00756756" w:rsidP="00756756">
      <w:pPr>
        <w:rPr>
          <w:rFonts w:asciiTheme="minorHAnsi" w:hAnsiTheme="minorHAnsi"/>
          <w:sz w:val="22"/>
          <w:szCs w:val="22"/>
          <w:lang w:val="pl-PL"/>
        </w:rPr>
      </w:pPr>
    </w:p>
    <w:p w:rsidR="00756756" w:rsidRPr="00D0054B" w:rsidRDefault="00756756" w:rsidP="00756756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756756" w:rsidRPr="00D0054B" w:rsidRDefault="00756756" w:rsidP="00756756">
      <w:pPr>
        <w:rPr>
          <w:rFonts w:asciiTheme="minorHAnsi" w:hAnsiTheme="minorHAnsi"/>
          <w:sz w:val="22"/>
          <w:szCs w:val="22"/>
          <w:lang w:val="pl-PL"/>
        </w:rPr>
      </w:pPr>
    </w:p>
    <w:p w:rsidR="00756756" w:rsidRPr="00D0054B" w:rsidRDefault="00756756" w:rsidP="00756756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756756" w:rsidRPr="00D0054B" w:rsidRDefault="00756756" w:rsidP="00756756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756756" w:rsidRPr="00D0054B" w:rsidRDefault="00756756" w:rsidP="00756756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756756" w:rsidRPr="00D0054B" w:rsidRDefault="00756756" w:rsidP="00756756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756756" w:rsidRPr="00D0054B" w:rsidRDefault="00756756" w:rsidP="00756756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756756" w:rsidRPr="00D0054B" w:rsidRDefault="00756756" w:rsidP="00756756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756756" w:rsidRDefault="00756756" w:rsidP="00756756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756756" w:rsidRPr="00D0054B" w:rsidRDefault="00756756" w:rsidP="00756756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756756" w:rsidRDefault="00756756" w:rsidP="00756756">
      <w:pPr>
        <w:rPr>
          <w:rFonts w:asciiTheme="minorHAnsi" w:hAnsiTheme="minorHAnsi"/>
          <w:sz w:val="22"/>
          <w:szCs w:val="22"/>
          <w:lang w:val="pl-PL"/>
        </w:rPr>
      </w:pPr>
    </w:p>
    <w:p w:rsidR="00756756" w:rsidRPr="00A13EA9" w:rsidRDefault="00756756" w:rsidP="00756756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756756" w:rsidRDefault="00756756" w:rsidP="00756756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756756" w:rsidRDefault="00756756" w:rsidP="00756756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54/EOG/2017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756756" w:rsidRPr="00A13EA9" w:rsidRDefault="00756756" w:rsidP="00756756">
      <w:pPr>
        <w:rPr>
          <w:rFonts w:asciiTheme="minorHAnsi" w:hAnsiTheme="minorHAnsi"/>
          <w:sz w:val="24"/>
          <w:szCs w:val="24"/>
          <w:lang w:val="pl-PL"/>
        </w:rPr>
      </w:pPr>
    </w:p>
    <w:p w:rsidR="00756756" w:rsidRDefault="00756756" w:rsidP="00756756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756756" w:rsidRPr="006953F8" w:rsidRDefault="00756756" w:rsidP="00756756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6953F8">
        <w:rPr>
          <w:rFonts w:asciiTheme="minorHAnsi" w:hAnsiTheme="minorHAnsi"/>
          <w:sz w:val="24"/>
          <w:szCs w:val="24"/>
          <w:lang w:val="pl-PL"/>
        </w:rPr>
        <w:t>brutto ………………….  zł (słownie:  ………………………………………………………..</w:t>
      </w:r>
      <w:r>
        <w:rPr>
          <w:rFonts w:asciiTheme="minorHAnsi" w:hAnsiTheme="minorHAnsi"/>
          <w:sz w:val="24"/>
          <w:szCs w:val="24"/>
          <w:lang w:val="pl-PL"/>
        </w:rPr>
        <w:t>).</w:t>
      </w:r>
    </w:p>
    <w:p w:rsidR="00756756" w:rsidRDefault="00756756" w:rsidP="00756756">
      <w:p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756756" w:rsidRPr="00797A71" w:rsidRDefault="00756756" w:rsidP="00756756">
      <w:pP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756756" w:rsidRPr="00BF5033" w:rsidRDefault="00756756" w:rsidP="00756756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BF5033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756756" w:rsidRDefault="00756756" w:rsidP="0075675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756756" w:rsidRPr="00A13EA9" w:rsidRDefault="00756756" w:rsidP="00756756">
      <w:pPr>
        <w:pStyle w:val="Akapitzlist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56756" w:rsidRPr="00ED681D" w:rsidRDefault="00756756" w:rsidP="0075675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.</w:t>
      </w:r>
    </w:p>
    <w:p w:rsidR="00756756" w:rsidRPr="003C7ECA" w:rsidRDefault="00756756" w:rsidP="0075675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lastRenderedPageBreak/>
        <w:t>Posiadamy następujący numer konta bankowego:………………………………………………………, numer NIP: ……………………. oraz numer REGON: …………………………..</w:t>
      </w:r>
    </w:p>
    <w:p w:rsidR="00756756" w:rsidRDefault="00756756" w:rsidP="00756756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56756" w:rsidRDefault="00756756" w:rsidP="00756756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56756" w:rsidRDefault="00756756" w:rsidP="00756756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56756" w:rsidRDefault="00756756" w:rsidP="00756756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56756" w:rsidRPr="00D0054B" w:rsidRDefault="00756756" w:rsidP="00756756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56756" w:rsidRPr="00D2373F" w:rsidRDefault="00756756" w:rsidP="00756756">
      <w:pPr>
        <w:rPr>
          <w:rFonts w:asciiTheme="minorHAnsi" w:hAnsiTheme="minorHAnsi"/>
          <w:sz w:val="24"/>
          <w:szCs w:val="24"/>
          <w:lang w:val="pl-PL"/>
        </w:rPr>
      </w:pPr>
    </w:p>
    <w:p w:rsidR="00756756" w:rsidRPr="00D2373F" w:rsidRDefault="00756756" w:rsidP="00756756">
      <w:pPr>
        <w:rPr>
          <w:rFonts w:asciiTheme="minorHAnsi" w:hAnsiTheme="minorHAnsi"/>
          <w:sz w:val="24"/>
          <w:szCs w:val="24"/>
          <w:lang w:val="pl-PL"/>
        </w:rPr>
      </w:pPr>
    </w:p>
    <w:p w:rsidR="00756756" w:rsidRPr="00D2373F" w:rsidRDefault="00756756" w:rsidP="00756756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756756" w:rsidRPr="00AD36D4" w:rsidRDefault="00756756" w:rsidP="00756756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756756" w:rsidRPr="00AD36D4" w:rsidRDefault="00756756" w:rsidP="00756756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756756" w:rsidRPr="003C7ECA" w:rsidRDefault="00756756" w:rsidP="00756756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B76F62" w:rsidRDefault="00756756">
      <w:bookmarkStart w:id="0" w:name="_GoBack"/>
      <w:bookmarkEnd w:id="0"/>
    </w:p>
    <w:sectPr w:rsidR="00B76F62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756756">
    <w:pPr>
      <w:pStyle w:val="Stopka"/>
      <w:jc w:val="right"/>
    </w:pPr>
  </w:p>
  <w:p w:rsidR="003C7ECA" w:rsidRDefault="00756756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756756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6756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756756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9F9953" wp14:editId="40CA002F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756756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F99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756756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756756" w:rsidP="00081365">
    <w:pPr>
      <w:spacing w:line="200" w:lineRule="exact"/>
    </w:pPr>
  </w:p>
  <w:p w:rsidR="00081365" w:rsidRDefault="00756756" w:rsidP="00081365"/>
  <w:p w:rsidR="00081365" w:rsidRPr="00081365" w:rsidRDefault="00756756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3323FA36" wp14:editId="0642BF30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9AD588C" wp14:editId="1A2AD0F9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756756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756756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F64CC" w:rsidRDefault="00756756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7F64CC">
      <w:rPr>
        <w:rFonts w:asciiTheme="minorHAnsi" w:hAnsiTheme="minorHAnsi"/>
      </w:rPr>
      <w:t>t</w:t>
    </w:r>
    <w:r w:rsidRPr="007F64CC">
      <w:rPr>
        <w:rFonts w:asciiTheme="minorHAnsi" w:hAnsiTheme="minorHAnsi"/>
      </w:rPr>
      <w:t>el</w:t>
    </w:r>
    <w:r w:rsidRPr="007F64CC">
      <w:rPr>
        <w:rFonts w:asciiTheme="minorHAnsi" w:hAnsiTheme="minorHAnsi"/>
      </w:rPr>
      <w:t>.</w:t>
    </w:r>
    <w:r w:rsidRPr="007F64CC">
      <w:rPr>
        <w:rFonts w:asciiTheme="minorHAnsi" w:hAnsiTheme="minorHAnsi"/>
      </w:rPr>
      <w:t xml:space="preserve">: 783 444 444 </w:t>
    </w:r>
  </w:p>
  <w:p w:rsidR="00081365" w:rsidRPr="007F64CC" w:rsidRDefault="00756756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7F64CC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756756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756756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756756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756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56"/>
    <w:rsid w:val="002E6375"/>
    <w:rsid w:val="00756756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04FE2-E751-405C-A28C-B31F4900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7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56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7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7567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2017-01-27T10:55:00Z</dcterms:created>
  <dcterms:modified xsi:type="dcterms:W3CDTF">2017-01-27T11:49:00Z</dcterms:modified>
</cp:coreProperties>
</file>